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844" w:rsidRDefault="000937DD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ESTUDO TÉCNICO PRELIMINAR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</w:rPr>
      </w:pPr>
      <w:proofErr w:type="gramStart"/>
      <w:r>
        <w:rPr>
          <w:rFonts w:ascii="Arial" w:eastAsia="Arial" w:hAnsi="Arial" w:cs="Arial"/>
          <w:b/>
          <w:color w:val="000000"/>
        </w:rPr>
        <w:t>REQUISITANTE(</w:t>
      </w:r>
      <w:proofErr w:type="gramEnd"/>
      <w:r>
        <w:rPr>
          <w:rFonts w:ascii="Arial" w:eastAsia="Arial" w:hAnsi="Arial" w:cs="Arial"/>
          <w:b/>
          <w:color w:val="000000"/>
        </w:rPr>
        <w:t xml:space="preserve">S): </w:t>
      </w:r>
      <w:r>
        <w:rPr>
          <w:rFonts w:ascii="Arial" w:eastAsia="Arial" w:hAnsi="Arial" w:cs="Arial"/>
          <w:color w:val="FF0000"/>
        </w:rPr>
        <w:t>Secretaria de ...</w:t>
      </w:r>
    </w:p>
    <w:p w:rsidR="00134844" w:rsidRDefault="00134844">
      <w:pP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 presente estudo técnico preliminar consiste na primeira etapa do planejamento de uma contratação que caracteriza o interesse público envolvido e a sua melhor solução, visando fundamentar a elaboração do termo de referência, consoante previsto no art. 6°, inciso XX da Lei 14.133/2021.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DESCRIÇÃO DA NECESSIDADE DA CONTRATAÇÃO - art. 18, § 1º, inciso I, da Lei nº 14.133/202</w:t>
      </w:r>
      <w:r w:rsidR="00AF7B56">
        <w:rPr>
          <w:rFonts w:ascii="Arial" w:eastAsia="Arial" w:hAnsi="Arial" w:cs="Arial"/>
          <w:b/>
          <w:color w:val="000000"/>
        </w:rPr>
        <w:t>1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highlight w:val="yellow"/>
        </w:rPr>
        <w:t>(Importante descrever detalhadamente a necessidade a ser satisfeita sob a perspectiva do interesse público, considerando as peculiaridades do caso concreto e o problema a ser resolvido diante dos obstáculos e dificuldades reais do gestor, bem como as circunstâncias práticas que limitam, condicionam ou fomentam a ação dos agentes públicos</w:t>
      </w:r>
      <w:r>
        <w:rPr>
          <w:rFonts w:ascii="Arial" w:eastAsia="Arial" w:hAnsi="Arial" w:cs="Arial"/>
          <w:i/>
        </w:rPr>
        <w:t>).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presente contratação visa a satisfação do interesse público pois (</w:t>
      </w:r>
      <w:r>
        <w:rPr>
          <w:rFonts w:ascii="Arial" w:eastAsia="Arial" w:hAnsi="Arial" w:cs="Arial"/>
          <w:color w:val="FF0000"/>
        </w:rPr>
        <w:t>relatar o problema a ser resolvido</w:t>
      </w:r>
      <w:r>
        <w:rPr>
          <w:rFonts w:ascii="Arial" w:eastAsia="Arial" w:hAnsi="Arial" w:cs="Arial"/>
          <w:color w:val="000000"/>
        </w:rPr>
        <w:t>), sendo necessária para (</w:t>
      </w:r>
      <w:r>
        <w:rPr>
          <w:rFonts w:ascii="Arial" w:eastAsia="Arial" w:hAnsi="Arial" w:cs="Arial"/>
          <w:color w:val="FF0000"/>
        </w:rPr>
        <w:t xml:space="preserve">relatar o objetivo da contratação, por exemplo: promover a alimentação saudável das crianças durante o período escolar; propiciar ambientes higienizados; </w:t>
      </w:r>
      <w:proofErr w:type="spellStart"/>
      <w:r>
        <w:rPr>
          <w:rFonts w:ascii="Arial" w:eastAsia="Arial" w:hAnsi="Arial" w:cs="Arial"/>
          <w:color w:val="FF0000"/>
        </w:rPr>
        <w:t>etc</w:t>
      </w:r>
      <w:proofErr w:type="spellEnd"/>
      <w:r>
        <w:rPr>
          <w:rFonts w:ascii="Arial" w:eastAsia="Arial" w:hAnsi="Arial" w:cs="Arial"/>
          <w:color w:val="000000"/>
        </w:rPr>
        <w:t xml:space="preserve">) 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/>
        </w:rPr>
        <w:t xml:space="preserve">Destaca-se que esta análise teve como ponto de partida, </w:t>
      </w:r>
      <w:r>
        <w:rPr>
          <w:rFonts w:ascii="Arial" w:eastAsia="Arial" w:hAnsi="Arial" w:cs="Arial"/>
          <w:color w:val="FF0000"/>
        </w:rPr>
        <w:t xml:space="preserve">as contratações anteriores do mesmo objeto, os desafios enfrentados e os resultados alcançados, aliados as novas expectativas diante das atuais necessidades. </w:t>
      </w:r>
    </w:p>
    <w:p w:rsidR="00134844" w:rsidRDefault="00134844">
      <w:pPr>
        <w:ind w:firstLine="284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Nesse sentido, identificou-se as seguintes </w:t>
      </w:r>
      <w:r>
        <w:rPr>
          <w:rFonts w:ascii="Arial" w:eastAsia="Arial" w:hAnsi="Arial" w:cs="Arial"/>
          <w:b/>
          <w:color w:val="FF0000"/>
        </w:rPr>
        <w:t>opções/soluções/alternativas</w:t>
      </w:r>
      <w:r>
        <w:rPr>
          <w:rFonts w:ascii="Arial" w:eastAsia="Arial" w:hAnsi="Arial" w:cs="Arial"/>
          <w:color w:val="000000"/>
        </w:rPr>
        <w:t xml:space="preserve"> disponíveis no mercado </w:t>
      </w:r>
      <w:r>
        <w:rPr>
          <w:rFonts w:ascii="Arial" w:eastAsia="Arial" w:hAnsi="Arial" w:cs="Arial"/>
          <w:color w:val="FF0000"/>
        </w:rPr>
        <w:t xml:space="preserve">(apresentar e explicar as opções/soluções/alternativas) </w:t>
      </w:r>
      <w:r>
        <w:rPr>
          <w:rFonts w:ascii="Arial" w:eastAsia="Arial" w:hAnsi="Arial" w:cs="Arial"/>
          <w:color w:val="000000"/>
        </w:rPr>
        <w:t>encontradas para eventual contratação, conforme doc. Anexo.</w:t>
      </w:r>
    </w:p>
    <w:p w:rsidR="00134844" w:rsidRDefault="00134844">
      <w:pPr>
        <w:ind w:firstLine="284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Ademais, destaca-se que referida contratação sempre foi realizada por este Órgão, mediante a </w:t>
      </w:r>
      <w:r>
        <w:rPr>
          <w:rFonts w:ascii="Arial" w:eastAsia="Arial" w:hAnsi="Arial" w:cs="Arial"/>
          <w:color w:val="FF0000"/>
        </w:rPr>
        <w:t xml:space="preserve">modalidade/contratação direta </w:t>
      </w:r>
      <w:proofErr w:type="spellStart"/>
      <w:r>
        <w:rPr>
          <w:rFonts w:ascii="Arial" w:eastAsia="Arial" w:hAnsi="Arial" w:cs="Arial"/>
          <w:color w:val="FF0000"/>
          <w:u w:val="single"/>
        </w:rPr>
        <w:t>xxxxxx</w:t>
      </w:r>
      <w:proofErr w:type="spellEnd"/>
      <w:r>
        <w:rPr>
          <w:rFonts w:ascii="Arial" w:eastAsia="Arial" w:hAnsi="Arial" w:cs="Arial"/>
          <w:color w:val="FF0000"/>
        </w:rPr>
        <w:t xml:space="preserve">, </w:t>
      </w:r>
      <w:r>
        <w:rPr>
          <w:rFonts w:ascii="Arial" w:eastAsia="Arial" w:hAnsi="Arial" w:cs="Arial"/>
          <w:color w:val="000000"/>
        </w:rPr>
        <w:t>com o critério de julgamento</w:t>
      </w:r>
      <w:r>
        <w:rPr>
          <w:rFonts w:ascii="Arial" w:eastAsia="Arial" w:hAnsi="Arial" w:cs="Arial"/>
          <w:color w:val="000000"/>
          <w:u w:val="single"/>
        </w:rPr>
        <w:t xml:space="preserve"> </w:t>
      </w:r>
      <w:r>
        <w:rPr>
          <w:rFonts w:ascii="Arial" w:eastAsia="Arial" w:hAnsi="Arial" w:cs="Arial"/>
          <w:color w:val="FF0000"/>
          <w:u w:val="single"/>
        </w:rPr>
        <w:t>Menor Preço</w:t>
      </w:r>
      <w:r>
        <w:rPr>
          <w:rFonts w:ascii="Arial" w:eastAsia="Arial" w:hAnsi="Arial" w:cs="Arial"/>
          <w:color w:val="000000"/>
        </w:rPr>
        <w:t xml:space="preserve">, adjudicação por </w:t>
      </w:r>
      <w:r>
        <w:rPr>
          <w:rFonts w:ascii="Arial" w:eastAsia="Arial" w:hAnsi="Arial" w:cs="Arial"/>
          <w:color w:val="FF0000"/>
        </w:rPr>
        <w:t>ITEM/LOTE/GRUPO/GLOBAL</w:t>
      </w:r>
      <w:r>
        <w:rPr>
          <w:rFonts w:ascii="Arial" w:eastAsia="Arial" w:hAnsi="Arial" w:cs="Arial"/>
          <w:color w:val="000000"/>
          <w:u w:val="single"/>
        </w:rPr>
        <w:t>,</w:t>
      </w:r>
      <w:r>
        <w:rPr>
          <w:rFonts w:ascii="Arial" w:eastAsia="Arial" w:hAnsi="Arial" w:cs="Arial"/>
          <w:color w:val="000000"/>
        </w:rPr>
        <w:t xml:space="preserve"> através de </w:t>
      </w:r>
      <w:r>
        <w:rPr>
          <w:rFonts w:ascii="Arial" w:eastAsia="Arial" w:hAnsi="Arial" w:cs="Arial"/>
          <w:color w:val="FF0000"/>
        </w:rPr>
        <w:t xml:space="preserve">contrato </w:t>
      </w:r>
      <w:proofErr w:type="spellStart"/>
      <w:r>
        <w:rPr>
          <w:rFonts w:ascii="Arial" w:eastAsia="Arial" w:hAnsi="Arial" w:cs="Arial"/>
          <w:color w:val="FF0000"/>
        </w:rPr>
        <w:t>administrato</w:t>
      </w:r>
      <w:proofErr w:type="spellEnd"/>
      <w:r>
        <w:rPr>
          <w:rFonts w:ascii="Arial" w:eastAsia="Arial" w:hAnsi="Arial" w:cs="Arial"/>
          <w:color w:val="FF0000"/>
        </w:rPr>
        <w:t>/</w:t>
      </w:r>
      <w:r>
        <w:rPr>
          <w:rFonts w:ascii="Arial" w:eastAsia="Arial" w:hAnsi="Arial" w:cs="Arial"/>
          <w:color w:val="FF0000"/>
          <w:u w:val="single"/>
        </w:rPr>
        <w:t>sistema registro de preços</w:t>
      </w:r>
      <w:r>
        <w:rPr>
          <w:rFonts w:ascii="Arial" w:eastAsia="Arial" w:hAnsi="Arial" w:cs="Arial"/>
          <w:color w:val="FF0000"/>
        </w:rPr>
        <w:t xml:space="preserve">. 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/>
        </w:rPr>
        <w:t xml:space="preserve">O objeto disposto no presente estudo foi </w:t>
      </w:r>
      <w:r>
        <w:rPr>
          <w:rFonts w:ascii="Arial" w:eastAsia="Arial" w:hAnsi="Arial" w:cs="Arial"/>
          <w:color w:val="FF0000"/>
        </w:rPr>
        <w:t xml:space="preserve">contratado anteriormente </w:t>
      </w:r>
      <w:r>
        <w:rPr>
          <w:rFonts w:ascii="Arial" w:eastAsia="Arial" w:hAnsi="Arial" w:cs="Arial"/>
          <w:color w:val="000000"/>
        </w:rPr>
        <w:t xml:space="preserve">por este Órgão </w:t>
      </w:r>
      <w:r>
        <w:rPr>
          <w:rFonts w:ascii="Arial" w:eastAsia="Arial" w:hAnsi="Arial" w:cs="Arial"/>
          <w:color w:val="FF0000"/>
        </w:rPr>
        <w:t xml:space="preserve">(PE </w:t>
      </w:r>
      <w:proofErr w:type="spellStart"/>
      <w:r>
        <w:rPr>
          <w:rFonts w:ascii="Arial" w:eastAsia="Arial" w:hAnsi="Arial" w:cs="Arial"/>
          <w:color w:val="FF0000"/>
        </w:rPr>
        <w:t>n.xx</w:t>
      </w:r>
      <w:proofErr w:type="spellEnd"/>
      <w:r>
        <w:rPr>
          <w:rFonts w:ascii="Arial" w:eastAsia="Arial" w:hAnsi="Arial" w:cs="Arial"/>
          <w:color w:val="FF0000"/>
        </w:rPr>
        <w:t>/20xx</w:t>
      </w:r>
      <w:r>
        <w:rPr>
          <w:rFonts w:ascii="Arial" w:eastAsia="Arial" w:hAnsi="Arial" w:cs="Arial"/>
          <w:color w:val="000000"/>
        </w:rPr>
        <w:t xml:space="preserve">), todavia, o prazo de vigência do </w:t>
      </w:r>
      <w:r>
        <w:rPr>
          <w:rFonts w:ascii="Arial" w:eastAsia="Arial" w:hAnsi="Arial" w:cs="Arial"/>
          <w:color w:val="FF0000"/>
        </w:rPr>
        <w:t xml:space="preserve">contrato/ata de registro </w:t>
      </w:r>
      <w:r>
        <w:rPr>
          <w:rFonts w:ascii="Arial" w:eastAsia="Arial" w:hAnsi="Arial" w:cs="Arial"/>
          <w:color w:val="000000"/>
        </w:rPr>
        <w:t xml:space="preserve">de preços encerra em </w:t>
      </w:r>
      <w:proofErr w:type="spellStart"/>
      <w:r>
        <w:rPr>
          <w:rFonts w:ascii="Arial" w:eastAsia="Arial" w:hAnsi="Arial" w:cs="Arial"/>
          <w:color w:val="FF0000"/>
        </w:rPr>
        <w:t>xx</w:t>
      </w:r>
      <w:proofErr w:type="spellEnd"/>
      <w:r>
        <w:rPr>
          <w:rFonts w:ascii="Arial" w:eastAsia="Arial" w:hAnsi="Arial" w:cs="Arial"/>
          <w:color w:val="FF0000"/>
        </w:rPr>
        <w:t>, mês de 202x, de forma que é indispensável promover referida contratação em tempo hábil, para que o interesse público continue sendo satisfeito.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contratação </w:t>
      </w:r>
      <w:r>
        <w:rPr>
          <w:rFonts w:ascii="Arial" w:eastAsia="Arial" w:hAnsi="Arial" w:cs="Arial"/>
          <w:color w:val="FF0000"/>
        </w:rPr>
        <w:t>consta no planejamento estratégico desta Administração/PCA ...</w:t>
      </w:r>
    </w:p>
    <w:p w:rsidR="00134844" w:rsidRDefault="00134844">
      <w:pPr>
        <w:jc w:val="both"/>
        <w:rPr>
          <w:rFonts w:ascii="Arial" w:eastAsia="Arial" w:hAnsi="Arial" w:cs="Arial"/>
        </w:rPr>
      </w:pPr>
    </w:p>
    <w:p w:rsidR="00134844" w:rsidRDefault="00134844">
      <w:pPr>
        <w:jc w:val="both"/>
        <w:rPr>
          <w:rFonts w:ascii="Arial" w:eastAsia="Arial" w:hAnsi="Arial" w:cs="Arial"/>
        </w:rPr>
      </w:pPr>
    </w:p>
    <w:p w:rsidR="00134844" w:rsidRDefault="00134844">
      <w:pPr>
        <w:jc w:val="both"/>
        <w:rPr>
          <w:rFonts w:ascii="Arial" w:eastAsia="Arial" w:hAnsi="Arial" w:cs="Arial"/>
        </w:rPr>
      </w:pPr>
    </w:p>
    <w:p w:rsidR="00134844" w:rsidRDefault="00134844">
      <w:pPr>
        <w:jc w:val="both"/>
        <w:rPr>
          <w:rFonts w:ascii="Arial" w:eastAsia="Arial" w:hAnsi="Arial" w:cs="Arial"/>
        </w:rPr>
      </w:pPr>
    </w:p>
    <w:p w:rsidR="00134844" w:rsidRDefault="000937DD" w:rsidP="007C3C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QUANTITATIVO ESTIMADO - art. 18, § 1º, inciso IV, da Lei nº 14.133/2021</w:t>
      </w:r>
    </w:p>
    <w:p w:rsidR="00134844" w:rsidRDefault="00134844">
      <w:pPr>
        <w:ind w:left="426"/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left="-156" w:right="142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color w:val="000000"/>
          <w:highlight w:val="yellow"/>
        </w:rPr>
        <w:t xml:space="preserve">(Apresentar a estimativa das quantidades, acompanhadas da memória de cálculo e documentos que dão suporte. Para justificar, deverá ser demonstrado o </w:t>
      </w:r>
      <w:r>
        <w:rPr>
          <w:rFonts w:ascii="Arial" w:eastAsia="Arial" w:hAnsi="Arial" w:cs="Arial"/>
          <w:i/>
          <w:highlight w:val="yellow"/>
        </w:rPr>
        <w:t>levantamento do histórico contratado ou da provável utilização dos serviços).</w:t>
      </w:r>
    </w:p>
    <w:p w:rsidR="00134844" w:rsidRDefault="00134844">
      <w:pPr>
        <w:jc w:val="both"/>
        <w:rPr>
          <w:rFonts w:ascii="Arial" w:eastAsia="Arial" w:hAnsi="Arial" w:cs="Arial"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/>
        </w:rPr>
        <w:t xml:space="preserve">As quantidades estimadas foram definidas baseadas na experiência de utilização dos mesmos, assim, foram realizadas análises das últimas aquisições deste Órgão do referido objeto </w:t>
      </w:r>
      <w:r>
        <w:rPr>
          <w:rFonts w:ascii="Arial" w:eastAsia="Arial" w:hAnsi="Arial" w:cs="Arial"/>
          <w:color w:val="FF0000"/>
        </w:rPr>
        <w:t xml:space="preserve">(PE n. /202x –; PE n. </w:t>
      </w:r>
      <w:proofErr w:type="spellStart"/>
      <w:r>
        <w:rPr>
          <w:rFonts w:ascii="Arial" w:eastAsia="Arial" w:hAnsi="Arial" w:cs="Arial"/>
          <w:color w:val="FF0000"/>
        </w:rPr>
        <w:t>xx</w:t>
      </w:r>
      <w:proofErr w:type="spellEnd"/>
      <w:r>
        <w:rPr>
          <w:rFonts w:ascii="Arial" w:eastAsia="Arial" w:hAnsi="Arial" w:cs="Arial"/>
          <w:color w:val="FF0000"/>
        </w:rPr>
        <w:t xml:space="preserve">/202x), em parceria com a Divisão de Almoxarifado, responsável pela distribuição dos produtos, análise de estoque; reposições e considerando (a instalação de novas unidades? O aumento de servidores? </w:t>
      </w:r>
      <w:proofErr w:type="gramStart"/>
      <w:r>
        <w:rPr>
          <w:rFonts w:ascii="Arial" w:eastAsia="Arial" w:hAnsi="Arial" w:cs="Arial"/>
          <w:color w:val="FF0000"/>
        </w:rPr>
        <w:t>aumento</w:t>
      </w:r>
      <w:proofErr w:type="gramEnd"/>
      <w:r>
        <w:rPr>
          <w:rFonts w:ascii="Arial" w:eastAsia="Arial" w:hAnsi="Arial" w:cs="Arial"/>
          <w:color w:val="FF0000"/>
        </w:rPr>
        <w:t xml:space="preserve"> dos usuários?), </w:t>
      </w:r>
      <w:r>
        <w:rPr>
          <w:rFonts w:ascii="Arial" w:eastAsia="Arial" w:hAnsi="Arial" w:cs="Arial"/>
          <w:color w:val="000000"/>
        </w:rPr>
        <w:t>conforme doc. Anexo.</w:t>
      </w:r>
    </w:p>
    <w:p w:rsidR="00134844" w:rsidRDefault="00134844">
      <w:pPr>
        <w:ind w:firstLine="284"/>
        <w:jc w:val="both"/>
        <w:rPr>
          <w:rFonts w:ascii="Arial" w:eastAsia="Arial" w:hAnsi="Arial" w:cs="Arial"/>
          <w:color w:val="00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Segue abaixo os dados pertinentes das quantidades adquiridas nos </w:t>
      </w:r>
      <w:r>
        <w:rPr>
          <w:rFonts w:ascii="Arial" w:eastAsia="Arial" w:hAnsi="Arial" w:cs="Arial"/>
          <w:color w:val="FF0000"/>
        </w:rPr>
        <w:t xml:space="preserve">últimos </w:t>
      </w:r>
      <w:proofErr w:type="spellStart"/>
      <w:r>
        <w:rPr>
          <w:rFonts w:ascii="Arial" w:eastAsia="Arial" w:hAnsi="Arial" w:cs="Arial"/>
          <w:color w:val="FF0000"/>
        </w:rPr>
        <w:t>xx</w:t>
      </w:r>
      <w:proofErr w:type="spellEnd"/>
      <w:r>
        <w:rPr>
          <w:rFonts w:ascii="Arial" w:eastAsia="Arial" w:hAnsi="Arial" w:cs="Arial"/>
          <w:color w:val="FF0000"/>
        </w:rPr>
        <w:t xml:space="preserve"> anos</w:t>
      </w:r>
      <w:r>
        <w:rPr>
          <w:rFonts w:ascii="Arial" w:eastAsia="Arial" w:hAnsi="Arial" w:cs="Arial"/>
          <w:color w:val="000000"/>
        </w:rPr>
        <w:t>:</w:t>
      </w:r>
    </w:p>
    <w:p w:rsidR="00134844" w:rsidRDefault="00134844">
      <w:pPr>
        <w:rPr>
          <w:rFonts w:ascii="Arial" w:eastAsia="Arial" w:hAnsi="Arial" w:cs="Arial"/>
          <w:color w:val="000000"/>
        </w:rPr>
      </w:pPr>
    </w:p>
    <w:tbl>
      <w:tblPr>
        <w:tblStyle w:val="a0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87"/>
        <w:gridCol w:w="2001"/>
        <w:gridCol w:w="2019"/>
        <w:gridCol w:w="1956"/>
        <w:gridCol w:w="1831"/>
      </w:tblGrid>
      <w:tr w:rsidR="00134844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:rsidR="00134844" w:rsidRDefault="000937DD">
            <w:pPr>
              <w:ind w:firstLine="34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Item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0937DD">
            <w:pPr>
              <w:ind w:firstLine="34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Descrição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0937DD">
            <w:pPr>
              <w:ind w:firstLine="34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Quantidade contratada 202</w:t>
            </w:r>
            <w:r>
              <w:rPr>
                <w:rFonts w:ascii="Arial" w:eastAsia="Arial" w:hAnsi="Arial" w:cs="Arial"/>
                <w:b/>
                <w:color w:val="FF0000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0937DD">
            <w:pPr>
              <w:ind w:firstLine="34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Quantidade contratada 202</w:t>
            </w:r>
            <w:r>
              <w:rPr>
                <w:rFonts w:ascii="Arial" w:eastAsia="Arial" w:hAnsi="Arial" w:cs="Arial"/>
                <w:b/>
                <w:color w:val="FF0000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0937DD">
            <w:pPr>
              <w:ind w:firstLine="34"/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Quantidade contratada 202</w:t>
            </w:r>
            <w:r>
              <w:rPr>
                <w:rFonts w:ascii="Arial" w:eastAsia="Arial" w:hAnsi="Arial" w:cs="Arial"/>
                <w:b/>
                <w:color w:val="FF0000"/>
              </w:rPr>
              <w:t>3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34844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844" w:rsidRDefault="000937D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</w:tr>
      <w:tr w:rsidR="00134844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844" w:rsidRDefault="000937D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844" w:rsidRDefault="00134844">
            <w:pPr>
              <w:rPr>
                <w:rFonts w:ascii="Arial" w:eastAsia="Arial" w:hAnsi="Arial" w:cs="Arial"/>
              </w:rPr>
            </w:pPr>
          </w:p>
        </w:tc>
      </w:tr>
    </w:tbl>
    <w:p w:rsidR="00134844" w:rsidRDefault="00134844">
      <w:pPr>
        <w:jc w:val="both"/>
        <w:rPr>
          <w:rFonts w:ascii="Arial" w:eastAsia="Arial" w:hAnsi="Arial" w:cs="Arial"/>
          <w:color w:val="FF0000"/>
        </w:rPr>
      </w:pPr>
    </w:p>
    <w:p w:rsidR="00134844" w:rsidRDefault="00134844">
      <w:pPr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  <w:highlight w:val="yellow"/>
        </w:rPr>
        <w:t>OU</w:t>
      </w:r>
    </w:p>
    <w:p w:rsidR="00134844" w:rsidRDefault="00134844">
      <w:pPr>
        <w:ind w:firstLine="284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Neste momento, pode-se estimar que serão contratados aproximadamente </w:t>
      </w:r>
      <w:proofErr w:type="spellStart"/>
      <w:r>
        <w:rPr>
          <w:rFonts w:ascii="Arial" w:eastAsia="Arial" w:hAnsi="Arial" w:cs="Arial"/>
          <w:color w:val="FF0000"/>
        </w:rPr>
        <w:t>xxx</w:t>
      </w:r>
      <w:proofErr w:type="spellEnd"/>
      <w:r>
        <w:rPr>
          <w:rFonts w:ascii="Arial" w:eastAsia="Arial" w:hAnsi="Arial" w:cs="Arial"/>
          <w:color w:val="FF0000"/>
        </w:rPr>
        <w:t xml:space="preserve"> unidades</w:t>
      </w:r>
      <w:r>
        <w:rPr>
          <w:rFonts w:ascii="Arial" w:eastAsia="Arial" w:hAnsi="Arial" w:cs="Arial"/>
          <w:color w:val="000000"/>
        </w:rPr>
        <w:t>, conforme informações contidas no relatório apresentado pela Secretaria demandante, conforme doc. Anexo.</w:t>
      </w:r>
    </w:p>
    <w:p w:rsidR="00134844" w:rsidRDefault="000937DD">
      <w:pP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Pontua-se, ainda, que os quantitativos poderão ser aumentados, reduzidos ou mesmo suprimidos em face da real necessidade ou de eventual limitação orçamentária, sempre de modo a maximizar a qualidade e eficiência na aplicação do erário público. Referido quantitativo será confirmado até o momento da finalização do termo de referência.</w:t>
      </w:r>
    </w:p>
    <w:p w:rsidR="00134844" w:rsidRDefault="00134844">
      <w:pP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ESTIMATIVA DO VALOR DA CONTRATAÇÃO – art. 18, §1º, inciso VI da Lei 14.133/21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i/>
          <w:color w:val="000000"/>
        </w:rPr>
      </w:pPr>
    </w:p>
    <w:p w:rsidR="00134844" w:rsidRDefault="000937DD">
      <w:pPr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  <w:highlight w:val="yellow"/>
        </w:rPr>
        <w:lastRenderedPageBreak/>
        <w:t>(Estimativa do valor da contratação, acompanhada dos preços unitários referenciais, das memórias de cálculo e dos documentos que lhe dão suporte. Essa estimativa de preços preliminar visa auxiliar na escolha da melhor solução e à análise de sua viabilidade econômica. O orçamento estimativo final para a contratação deverá compor o Termo de Referência</w:t>
      </w:r>
      <w:r>
        <w:rPr>
          <w:rFonts w:ascii="Arial" w:eastAsia="Arial" w:hAnsi="Arial" w:cs="Arial"/>
          <w:i/>
          <w:color w:val="000000"/>
        </w:rPr>
        <w:t>).</w:t>
      </w:r>
    </w:p>
    <w:p w:rsidR="00134844" w:rsidRDefault="00134844">
      <w:pPr>
        <w:jc w:val="both"/>
        <w:rPr>
          <w:rFonts w:ascii="Arial" w:eastAsia="Arial" w:hAnsi="Arial" w:cs="Arial"/>
          <w:color w:val="00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/>
        </w:rPr>
        <w:t xml:space="preserve">Durante as pesquisas iniciais realizadas, estima-se que dentre as </w:t>
      </w:r>
      <w:r>
        <w:rPr>
          <w:rFonts w:ascii="Arial" w:eastAsia="Arial" w:hAnsi="Arial" w:cs="Arial"/>
          <w:b/>
          <w:color w:val="FF0000"/>
        </w:rPr>
        <w:t>opções/soluções/alternativas</w:t>
      </w:r>
      <w:r>
        <w:rPr>
          <w:rFonts w:ascii="Arial" w:eastAsia="Arial" w:hAnsi="Arial" w:cs="Arial"/>
          <w:color w:val="000000"/>
        </w:rPr>
        <w:t xml:space="preserve"> disponíveis no mercado, o valor estimado da contratação será </w:t>
      </w:r>
      <w:r>
        <w:rPr>
          <w:rFonts w:ascii="Arial" w:eastAsia="Arial" w:hAnsi="Arial" w:cs="Arial"/>
          <w:color w:val="FF0000"/>
        </w:rPr>
        <w:t xml:space="preserve">R$ </w:t>
      </w:r>
      <w:proofErr w:type="spellStart"/>
      <w:r>
        <w:rPr>
          <w:rFonts w:ascii="Arial" w:eastAsia="Arial" w:hAnsi="Arial" w:cs="Arial"/>
          <w:color w:val="FF0000"/>
        </w:rPr>
        <w:t>xxx</w:t>
      </w:r>
      <w:proofErr w:type="spellEnd"/>
      <w:proofErr w:type="gramStart"/>
      <w:r>
        <w:rPr>
          <w:rFonts w:ascii="Arial" w:eastAsia="Arial" w:hAnsi="Arial" w:cs="Arial"/>
          <w:color w:val="FF0000"/>
        </w:rPr>
        <w:t>. ,</w:t>
      </w:r>
      <w:proofErr w:type="gramEnd"/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>conforme doc. Anexo.</w:t>
      </w:r>
    </w:p>
    <w:p w:rsidR="00134844" w:rsidRDefault="00134844">
      <w:pPr>
        <w:jc w:val="both"/>
        <w:rPr>
          <w:rFonts w:ascii="Arial" w:eastAsia="Arial" w:hAnsi="Arial" w:cs="Arial"/>
          <w:color w:val="FF0000"/>
        </w:rPr>
      </w:pPr>
    </w:p>
    <w:p w:rsidR="00134844" w:rsidRDefault="00134844">
      <w:pPr>
        <w:ind w:firstLine="284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DO PARCELAMENTO OU NÃO DA CONTRATAÇÃO – art. 18, § 1º, inciso VIII da Lei 14.133/21</w:t>
      </w:r>
    </w:p>
    <w:p w:rsidR="00134844" w:rsidRDefault="00134844" w:rsidP="00A627F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jc w:val="both"/>
        <w:rPr>
          <w:rFonts w:ascii="Arial" w:eastAsia="Arial" w:hAnsi="Arial" w:cs="Arial"/>
          <w:i/>
          <w:color w:val="000000"/>
          <w:highlight w:val="yellow"/>
        </w:rPr>
      </w:pPr>
      <w:r>
        <w:rPr>
          <w:rFonts w:ascii="Arial" w:eastAsia="Arial" w:hAnsi="Arial" w:cs="Arial"/>
          <w:i/>
          <w:color w:val="000000"/>
          <w:highlight w:val="yellow"/>
        </w:rPr>
        <w:t>(Necessário considerar as possíveis formas de execução do objeto e as peculiaridades do mercado, visando gerar o resultado de contratação mais vantajoso para a Administração Pública. Deve ser justificado tanto a escolha por lote, por grupo ou global, quanto a escolha por item com o parcelamento do objeto).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ind w:firstLine="360"/>
        <w:jc w:val="both"/>
        <w:rPr>
          <w:rFonts w:ascii="Arial" w:eastAsia="Arial" w:hAnsi="Arial" w:cs="Arial"/>
          <w:color w:val="000000"/>
          <w:highlight w:val="white"/>
        </w:rPr>
      </w:pPr>
      <w:r>
        <w:rPr>
          <w:rFonts w:ascii="Arial" w:eastAsia="Arial" w:hAnsi="Arial" w:cs="Arial"/>
          <w:color w:val="000000"/>
          <w:highlight w:val="white"/>
        </w:rPr>
        <w:t>A Lei 14.133/2021 dispõe no inciso II do seu art. 47 que as licitações atenderão aos princípios do parcelamento, quando for tecnicamente viável e economicamente vantajoso.</w:t>
      </w:r>
    </w:p>
    <w:p w:rsidR="00134844" w:rsidRDefault="00134844">
      <w:pPr>
        <w:ind w:firstLine="360"/>
        <w:jc w:val="both"/>
        <w:rPr>
          <w:rFonts w:ascii="Arial" w:eastAsia="Arial" w:hAnsi="Arial" w:cs="Arial"/>
          <w:color w:val="000000"/>
          <w:highlight w:val="white"/>
        </w:rPr>
      </w:pPr>
    </w:p>
    <w:p w:rsidR="00134844" w:rsidRDefault="000937DD">
      <w:pPr>
        <w:ind w:firstLine="360"/>
        <w:jc w:val="both"/>
      </w:pPr>
      <w:r>
        <w:rPr>
          <w:rFonts w:ascii="Arial" w:eastAsia="Arial" w:hAnsi="Arial" w:cs="Arial"/>
          <w:color w:val="000000"/>
          <w:highlight w:val="white"/>
        </w:rPr>
        <w:t>O §1º do art. 47 da Lei 14.133/2021 exige que na aplicação do princípio do parcelamento devem ser considerados: I) a responsabilidade técnica; II) o custo para a Administração de vários contratos frente às vantagens da redução de custos, com divisão do objeto em itens; III) o dever de buscar a ampliação da competição e de evitar a concentração de mercado.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ind w:firstLine="284"/>
        <w:jc w:val="both"/>
        <w:rPr>
          <w:rFonts w:ascii="Arial" w:eastAsia="Arial" w:hAnsi="Arial" w:cs="Arial"/>
          <w:color w:val="FF0000"/>
          <w:highlight w:val="white"/>
        </w:rPr>
      </w:pPr>
      <w:r>
        <w:rPr>
          <w:rFonts w:ascii="Arial" w:eastAsia="Arial" w:hAnsi="Arial" w:cs="Arial"/>
          <w:color w:val="000000"/>
        </w:rPr>
        <w:t xml:space="preserve">Dessa forma, o objeto será: </w:t>
      </w:r>
      <w:r>
        <w:rPr>
          <w:rFonts w:ascii="Arial" w:eastAsia="Arial" w:hAnsi="Arial" w:cs="Arial"/>
          <w:color w:val="FF0000"/>
        </w:rPr>
        <w:t xml:space="preserve">dividido por ITEM/LOTE/GRUPO </w:t>
      </w:r>
      <w:r>
        <w:rPr>
          <w:rFonts w:ascii="Arial" w:eastAsia="Arial" w:hAnsi="Arial" w:cs="Arial"/>
          <w:i/>
          <w:color w:val="FF0000"/>
          <w:u w:val="single"/>
        </w:rPr>
        <w:t xml:space="preserve">ou </w:t>
      </w:r>
      <w:r>
        <w:rPr>
          <w:rFonts w:ascii="Arial" w:eastAsia="Arial" w:hAnsi="Arial" w:cs="Arial"/>
          <w:color w:val="FF0000"/>
        </w:rPr>
        <w:t>GLOBAL</w:t>
      </w:r>
      <w:r>
        <w:rPr>
          <w:rFonts w:ascii="Arial" w:eastAsia="Arial" w:hAnsi="Arial" w:cs="Arial"/>
          <w:color w:val="000000"/>
        </w:rPr>
        <w:t>, em virtude de</w:t>
      </w:r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FF0000"/>
        </w:rPr>
        <w:t>xxx</w:t>
      </w:r>
      <w:proofErr w:type="spellEnd"/>
      <w:r>
        <w:rPr>
          <w:rFonts w:ascii="Arial" w:eastAsia="Arial" w:hAnsi="Arial" w:cs="Arial"/>
          <w:i/>
          <w:color w:val="FF0000"/>
        </w:rPr>
        <w:t xml:space="preserve"> (justificar se o parcelamento é </w:t>
      </w:r>
      <w:r>
        <w:rPr>
          <w:rFonts w:ascii="Arial" w:eastAsia="Arial" w:hAnsi="Arial" w:cs="Arial"/>
          <w:color w:val="FF0000"/>
          <w:highlight w:val="white"/>
        </w:rPr>
        <w:t xml:space="preserve">tecnicamente viável e economicamente vantajoso. Exemplo: </w:t>
      </w:r>
      <w:r>
        <w:rPr>
          <w:rFonts w:ascii="Calibri" w:eastAsia="Calibri" w:hAnsi="Calibri" w:cs="Calibri"/>
          <w:color w:val="FF0000"/>
          <w:highlight w:val="white"/>
        </w:rPr>
        <w:t>o não parcelamento do objeto é mais vantajoso no presente caso, para fins de otimizar a gestão e fiscalização de contratos, reduzindo a quantidade de instrumentos celebrados e de fornecedores contratados, facilitando a execução do objeto, além de contribuir para a redução de itens desertos.</w:t>
      </w:r>
      <w:r>
        <w:rPr>
          <w:rFonts w:ascii="Calibri" w:eastAsia="Calibri" w:hAnsi="Calibri" w:cs="Calibri"/>
          <w:color w:val="000000"/>
          <w:highlight w:val="white"/>
        </w:rPr>
        <w:t> </w:t>
      </w:r>
    </w:p>
    <w:p w:rsidR="00134844" w:rsidRDefault="00134844">
      <w:pPr>
        <w:jc w:val="both"/>
        <w:rPr>
          <w:rFonts w:ascii="Arial" w:eastAsia="Arial" w:hAnsi="Arial" w:cs="Arial"/>
          <w:b/>
          <w:color w:val="FF0000"/>
        </w:rPr>
      </w:pPr>
    </w:p>
    <w:p w:rsidR="00134844" w:rsidRDefault="000937DD">
      <w:pPr>
        <w:tabs>
          <w:tab w:val="left" w:pos="800"/>
        </w:tabs>
        <w:jc w:val="both"/>
        <w:rPr>
          <w:rFonts w:ascii="Arial" w:eastAsia="Arial" w:hAnsi="Arial" w:cs="Arial"/>
          <w:i/>
          <w:color w:val="000000"/>
          <w:highlight w:val="yellow"/>
        </w:rPr>
      </w:pPr>
      <w:r>
        <w:rPr>
          <w:rFonts w:ascii="Arial" w:eastAsia="Arial" w:hAnsi="Arial" w:cs="Arial"/>
          <w:b/>
          <w:i/>
          <w:color w:val="000000"/>
          <w:highlight w:val="yellow"/>
        </w:rPr>
        <w:t>TCE/PR</w:t>
      </w:r>
      <w:r>
        <w:rPr>
          <w:rFonts w:ascii="Arial" w:eastAsia="Arial" w:hAnsi="Arial" w:cs="Arial"/>
          <w:i/>
          <w:color w:val="000000"/>
          <w:highlight w:val="yellow"/>
        </w:rPr>
        <w:t xml:space="preserve"> - "É possível a aglutinação de itens em lote único justificado pelo gestor." Acórdão 1.889/2023 TCE/PR Pleno</w:t>
      </w:r>
    </w:p>
    <w:p w:rsidR="00134844" w:rsidRDefault="00134844">
      <w:pPr>
        <w:tabs>
          <w:tab w:val="left" w:pos="800"/>
        </w:tabs>
        <w:jc w:val="both"/>
        <w:rPr>
          <w:rFonts w:ascii="Arial" w:eastAsia="Arial" w:hAnsi="Arial" w:cs="Arial"/>
          <w:i/>
          <w:color w:val="000000"/>
          <w:highlight w:val="yellow"/>
        </w:rPr>
      </w:pPr>
    </w:p>
    <w:p w:rsidR="00134844" w:rsidRDefault="000937DD">
      <w:pPr>
        <w:jc w:val="both"/>
      </w:pPr>
      <w:r>
        <w:rPr>
          <w:rFonts w:ascii="Arial" w:eastAsia="Arial" w:hAnsi="Arial" w:cs="Arial"/>
          <w:b/>
          <w:color w:val="000000"/>
          <w:highlight w:val="yellow"/>
        </w:rPr>
        <w:t>TCE/PR –</w:t>
      </w:r>
      <w:r>
        <w:rPr>
          <w:rFonts w:ascii="Arial" w:eastAsia="Arial" w:hAnsi="Arial" w:cs="Arial"/>
          <w:color w:val="000000"/>
          <w:highlight w:val="yellow"/>
        </w:rPr>
        <w:t xml:space="preserve"> “O parcelamento ou adjudicação por itens não deve ser levado a termos absolutos, pois a divisão da pretensão contratual, em alguns casos, pode prejudicar a economia de escala e gerar outros custos relacionados aos diversos contratos, além de potencializar riscos e dificuldades, eis que se terá que gerir vários contratos autônomos para atendimento da mesma pretensão contratual”. Acórdão 3350/2019 TCE/PR Pleno</w:t>
      </w:r>
    </w:p>
    <w:p w:rsidR="00134844" w:rsidRDefault="00134844">
      <w:pPr>
        <w:tabs>
          <w:tab w:val="left" w:pos="800"/>
        </w:tabs>
        <w:jc w:val="both"/>
        <w:rPr>
          <w:rFonts w:ascii="Arial" w:eastAsia="Arial" w:hAnsi="Arial" w:cs="Arial"/>
          <w:i/>
          <w:color w:val="000000"/>
          <w:highlight w:val="yellow"/>
        </w:rPr>
      </w:pPr>
    </w:p>
    <w:p w:rsidR="00134844" w:rsidRDefault="000937DD">
      <w:pPr>
        <w:tabs>
          <w:tab w:val="left" w:pos="800"/>
        </w:tabs>
        <w:jc w:val="both"/>
        <w:rPr>
          <w:rFonts w:ascii="Arial" w:eastAsia="Arial" w:hAnsi="Arial" w:cs="Arial"/>
          <w:i/>
          <w:color w:val="000000"/>
          <w:highlight w:val="yellow"/>
        </w:rPr>
      </w:pPr>
      <w:r>
        <w:rPr>
          <w:rFonts w:ascii="Arial" w:eastAsia="Arial" w:hAnsi="Arial" w:cs="Arial"/>
          <w:b/>
          <w:i/>
          <w:color w:val="000000"/>
          <w:highlight w:val="yellow"/>
        </w:rPr>
        <w:t>TCE/RJ</w:t>
      </w:r>
      <w:r>
        <w:rPr>
          <w:rFonts w:ascii="Arial" w:eastAsia="Arial" w:hAnsi="Arial" w:cs="Arial"/>
          <w:i/>
          <w:color w:val="000000"/>
          <w:highlight w:val="yellow"/>
        </w:rPr>
        <w:t xml:space="preserve"> - "A definição da divisibilidade ou não por lotes, ou itens na licitação insere-se no âmbito de discricionariedade administrativa, competindo ao gestor público avaliar, na fase de planejamento, qual meio atende melhor ao interesse público, demonstrando a </w:t>
      </w:r>
      <w:proofErr w:type="spellStart"/>
      <w:r>
        <w:rPr>
          <w:rFonts w:ascii="Arial" w:eastAsia="Arial" w:hAnsi="Arial" w:cs="Arial"/>
          <w:i/>
          <w:color w:val="000000"/>
          <w:highlight w:val="yellow"/>
        </w:rPr>
        <w:t>vantajosidade</w:t>
      </w:r>
      <w:proofErr w:type="spellEnd"/>
      <w:r>
        <w:rPr>
          <w:rFonts w:ascii="Arial" w:eastAsia="Arial" w:hAnsi="Arial" w:cs="Arial"/>
          <w:i/>
          <w:color w:val="000000"/>
          <w:highlight w:val="yellow"/>
        </w:rPr>
        <w:t xml:space="preserve"> da opção feita, bem como eventual prejuízo para o conjunto ou complexo ou perda de economia de escala". Acórdão 75681/2022 TCE/RJ Pleno</w:t>
      </w:r>
    </w:p>
    <w:p w:rsidR="00134844" w:rsidRDefault="00134844">
      <w:pPr>
        <w:tabs>
          <w:tab w:val="left" w:pos="800"/>
        </w:tabs>
        <w:ind w:left="1134"/>
        <w:jc w:val="both"/>
        <w:rPr>
          <w:rFonts w:ascii="Arial" w:eastAsia="Arial" w:hAnsi="Arial" w:cs="Arial"/>
          <w:i/>
          <w:color w:val="000000"/>
          <w:highlight w:val="yellow"/>
        </w:rPr>
      </w:pPr>
    </w:p>
    <w:p w:rsidR="00134844" w:rsidRDefault="000937DD">
      <w:pPr>
        <w:tabs>
          <w:tab w:val="left" w:pos="800"/>
        </w:tabs>
        <w:jc w:val="both"/>
        <w:rPr>
          <w:rFonts w:ascii="Arial" w:eastAsia="Arial" w:hAnsi="Arial" w:cs="Arial"/>
          <w:i/>
          <w:color w:val="000000"/>
          <w:highlight w:val="yellow"/>
        </w:rPr>
      </w:pPr>
      <w:r>
        <w:rPr>
          <w:rFonts w:ascii="Arial" w:eastAsia="Arial" w:hAnsi="Arial" w:cs="Arial"/>
          <w:b/>
          <w:i/>
          <w:color w:val="000000"/>
          <w:highlight w:val="yellow"/>
        </w:rPr>
        <w:t xml:space="preserve"> TCE/MT</w:t>
      </w:r>
      <w:r>
        <w:rPr>
          <w:rFonts w:ascii="Arial" w:eastAsia="Arial" w:hAnsi="Arial" w:cs="Arial"/>
          <w:i/>
          <w:color w:val="000000"/>
          <w:highlight w:val="yellow"/>
        </w:rPr>
        <w:t xml:space="preserve"> - </w:t>
      </w:r>
      <w:proofErr w:type="gramStart"/>
      <w:r>
        <w:rPr>
          <w:rFonts w:ascii="Arial" w:eastAsia="Arial" w:hAnsi="Arial" w:cs="Arial"/>
          <w:i/>
          <w:color w:val="000000"/>
          <w:highlight w:val="yellow"/>
        </w:rPr>
        <w:t xml:space="preserve"> Nas</w:t>
      </w:r>
      <w:proofErr w:type="gramEnd"/>
      <w:r>
        <w:rPr>
          <w:rFonts w:ascii="Arial" w:eastAsia="Arial" w:hAnsi="Arial" w:cs="Arial"/>
          <w:i/>
          <w:color w:val="000000"/>
          <w:highlight w:val="yellow"/>
        </w:rPr>
        <w:t xml:space="preserve"> licitações cujo objeto seja divisível, é obrigatória a adjudicação por item, exceto quando houver prejuízo para o conjunto ou perda de economia de escala. Enquadra-se nessa exceção, o agrupamento em lotes que permita à Administração Pública garantir a qualidade de materiais e a participação de licitantes, mesmo para os itens necessários em menor quantidade, evitando a deserção no processo licitatório. Neste sentido, os objetivos das licitações devem ser ponderados, sopesando a competitividade e a proposta mais vantajosa de modo que ambas convirjam para a supremacia do interesse público. Acórdão 18/2019 TCE/MT Pleno.</w:t>
      </w:r>
    </w:p>
    <w:p w:rsidR="00134844" w:rsidRDefault="00134844">
      <w:pPr>
        <w:tabs>
          <w:tab w:val="left" w:pos="800"/>
        </w:tabs>
        <w:ind w:left="1134"/>
        <w:jc w:val="both"/>
        <w:rPr>
          <w:rFonts w:ascii="Arial" w:eastAsia="Arial" w:hAnsi="Arial" w:cs="Arial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right="142"/>
        <w:jc w:val="both"/>
        <w:rPr>
          <w:rFonts w:ascii="Arial" w:eastAsia="Arial" w:hAnsi="Arial" w:cs="Arial"/>
          <w:i/>
          <w:color w:val="000000"/>
          <w:highlight w:val="yellow"/>
        </w:rPr>
      </w:pPr>
      <w:r>
        <w:rPr>
          <w:rFonts w:ascii="Arial" w:eastAsia="Arial" w:hAnsi="Arial" w:cs="Arial"/>
          <w:b/>
          <w:i/>
          <w:color w:val="000000"/>
          <w:highlight w:val="yellow"/>
        </w:rPr>
        <w:t>TCE/RO -</w:t>
      </w:r>
      <w:r>
        <w:rPr>
          <w:rFonts w:ascii="Arial" w:eastAsia="Arial" w:hAnsi="Arial" w:cs="Arial"/>
          <w:i/>
          <w:color w:val="000000"/>
          <w:highlight w:val="yellow"/>
        </w:rPr>
        <w:t xml:space="preserve"> Na decisão 263/2014-Pleno reconheceu a adjudicação por lote, desde que observadas as seguintes condições cumulativas: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right="142"/>
        <w:jc w:val="both"/>
        <w:rPr>
          <w:rFonts w:ascii="Arial" w:eastAsia="Arial" w:hAnsi="Arial" w:cs="Arial"/>
          <w:i/>
          <w:color w:val="000000"/>
          <w:highlight w:val="yellow"/>
        </w:rPr>
      </w:pPr>
      <w:r>
        <w:rPr>
          <w:rFonts w:ascii="Arial" w:eastAsia="Arial" w:hAnsi="Arial" w:cs="Arial"/>
          <w:i/>
          <w:color w:val="000000"/>
          <w:highlight w:val="yellow"/>
        </w:rPr>
        <w:t xml:space="preserve"> "a) apresentar justificativa que demonstre a motivação para a utilização do critério de julgamento menor preço por lote; b) prever quantidade restrita de itens por lote; c) proceder ao agrupamento por lote de itens que guardem homogeneidade entre </w:t>
      </w:r>
      <w:proofErr w:type="gramStart"/>
      <w:r>
        <w:rPr>
          <w:rFonts w:ascii="Arial" w:eastAsia="Arial" w:hAnsi="Arial" w:cs="Arial"/>
          <w:i/>
          <w:color w:val="000000"/>
          <w:highlight w:val="yellow"/>
        </w:rPr>
        <w:t>si.”</w:t>
      </w:r>
      <w:proofErr w:type="gramEnd"/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right="142"/>
        <w:jc w:val="both"/>
        <w:rPr>
          <w:rFonts w:ascii="Arial" w:eastAsia="Arial" w:hAnsi="Arial" w:cs="Arial"/>
          <w:i/>
          <w:color w:val="000000"/>
          <w:highlight w:val="yellow"/>
        </w:rPr>
      </w:pPr>
    </w:p>
    <w:p w:rsidR="00134844" w:rsidRDefault="000937DD">
      <w:pPr>
        <w:jc w:val="both"/>
        <w:rPr>
          <w:rFonts w:ascii="Arial" w:eastAsia="Arial" w:hAnsi="Arial" w:cs="Arial"/>
          <w:color w:val="000000"/>
          <w:highlight w:val="white"/>
        </w:rPr>
      </w:pPr>
      <w:r>
        <w:rPr>
          <w:rFonts w:ascii="Arial" w:eastAsia="Arial" w:hAnsi="Arial" w:cs="Arial"/>
          <w:b/>
          <w:color w:val="000000"/>
          <w:highlight w:val="yellow"/>
        </w:rPr>
        <w:t>TCU -</w:t>
      </w:r>
      <w:r>
        <w:rPr>
          <w:rFonts w:ascii="Arial" w:eastAsia="Arial" w:hAnsi="Arial" w:cs="Arial"/>
          <w:color w:val="000000"/>
          <w:highlight w:val="yellow"/>
        </w:rPr>
        <w:t xml:space="preserve"> "A adjudicação por grupo ou lote não é, em princípio, irregular, devendo a Administração, nesses casos, justificar de forma fundamentada, no respectivo processo administrativo, a vantagem dessa opção”. Acórdão 5134/2014 TCU Segunda Câmara</w:t>
      </w:r>
    </w:p>
    <w:p w:rsidR="00134844" w:rsidRDefault="00134844">
      <w:pPr>
        <w:jc w:val="both"/>
        <w:rPr>
          <w:rFonts w:ascii="Arial" w:eastAsia="Arial" w:hAnsi="Arial" w:cs="Arial"/>
          <w:color w:val="000000"/>
          <w:highlight w:val="white"/>
        </w:rPr>
      </w:pPr>
    </w:p>
    <w:p w:rsidR="00134844" w:rsidRDefault="000937DD">
      <w:pPr>
        <w:jc w:val="both"/>
      </w:pPr>
      <w:r>
        <w:rPr>
          <w:rFonts w:ascii="Arial" w:eastAsia="Arial" w:hAnsi="Arial" w:cs="Arial"/>
          <w:b/>
          <w:color w:val="000000"/>
          <w:highlight w:val="yellow"/>
        </w:rPr>
        <w:t>TCU -</w:t>
      </w:r>
      <w:r>
        <w:rPr>
          <w:rFonts w:ascii="Arial" w:eastAsia="Arial" w:hAnsi="Arial" w:cs="Arial"/>
          <w:color w:val="000000"/>
          <w:highlight w:val="yellow"/>
        </w:rPr>
        <w:t xml:space="preserve"> "diante das peculiares e excepcionais circunstâncias do presente caso concreto, no qual a licitação por itens isolados poderia trazer indesejáveis riscos à administração pública, mostrando-se adequado, pois, o agrupamento desses itens em lotes, com elementos de mesma característica" complementando que a licitação por item: "tornaria bem mais oneroso o trabalho da administração pública, sob o ponto de vista do emprego de recursos humanos e da dificuldade de controle, de sorte que poderia colocar em risco a economia de escala e a celeridade processual, comprometendo a seleção da proposta mais vantajosa para a administração”. Acórdão 5301/2013 TCU Segunda Câmara.</w:t>
      </w:r>
    </w:p>
    <w:p w:rsidR="00134844" w:rsidRDefault="00134844">
      <w:pPr>
        <w:jc w:val="both"/>
        <w:rPr>
          <w:rFonts w:ascii="Arial" w:eastAsia="Arial" w:hAnsi="Arial" w:cs="Arial"/>
          <w:i/>
          <w:color w:val="FF0000"/>
        </w:rPr>
      </w:pPr>
    </w:p>
    <w:p w:rsidR="00134844" w:rsidRDefault="00093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POSICIONAMENTO CONCLUSIVO - art. 18, §1º, inciso XIII da Lei 14.133/21</w:t>
      </w:r>
    </w:p>
    <w:p w:rsidR="00134844" w:rsidRDefault="00134844">
      <w:pPr>
        <w:ind w:left="360"/>
        <w:jc w:val="both"/>
        <w:rPr>
          <w:rFonts w:ascii="Arial" w:eastAsia="Arial" w:hAnsi="Arial" w:cs="Arial"/>
          <w:b/>
          <w:i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highlight w:val="yellow"/>
        </w:rPr>
        <w:t xml:space="preserve">(Apresentar um posicionamento conclusivo sobre a viabilidade técnica e econômica da contratação, apontando dentre as </w:t>
      </w:r>
      <w:r>
        <w:rPr>
          <w:rFonts w:ascii="Arial" w:eastAsia="Arial" w:hAnsi="Arial" w:cs="Arial"/>
          <w:b/>
          <w:color w:val="FF0000"/>
          <w:highlight w:val="yellow"/>
        </w:rPr>
        <w:t xml:space="preserve">opções/soluções/alternativas, </w:t>
      </w:r>
      <w:r>
        <w:rPr>
          <w:rFonts w:ascii="Arial" w:eastAsia="Arial" w:hAnsi="Arial" w:cs="Arial"/>
          <w:i/>
          <w:highlight w:val="yellow"/>
        </w:rPr>
        <w:t>aquela que se revela mais adequada para o atendimento da necessidade a que se destina</w:t>
      </w:r>
      <w:r>
        <w:rPr>
          <w:rFonts w:ascii="Arial" w:eastAsia="Arial" w:hAnsi="Arial" w:cs="Arial"/>
          <w:i/>
        </w:rPr>
        <w:t>).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presente contratação se revela necessária, tendo o presente estudo técnico preliminar evidenciado qual das </w:t>
      </w:r>
      <w:r>
        <w:rPr>
          <w:rFonts w:ascii="Arial" w:eastAsia="Arial" w:hAnsi="Arial" w:cs="Arial"/>
          <w:b/>
          <w:color w:val="FF0000"/>
          <w:highlight w:val="yellow"/>
        </w:rPr>
        <w:t>opções/soluções/alternativas</w:t>
      </w:r>
      <w:r>
        <w:rPr>
          <w:rFonts w:ascii="Arial" w:eastAsia="Arial" w:hAnsi="Arial" w:cs="Arial"/>
          <w:color w:val="000000"/>
        </w:rPr>
        <w:t xml:space="preserve"> disponíveis no mercado apresenta melhor viabilidade técnica e econômica para satisfação do interesse público, sendo indicada para o presente caso, a contratação </w:t>
      </w:r>
      <w:r>
        <w:rPr>
          <w:rFonts w:ascii="Arial" w:eastAsia="Arial" w:hAnsi="Arial" w:cs="Arial"/>
          <w:color w:val="FF0000"/>
        </w:rPr>
        <w:t>XXX.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Dessa forma, concluímos que a solução indicada é a mais adequada e requeremos a continuidade do processo para efetivar a contratação, visando o atendimento da necessidade a que se destina. 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Arial" w:eastAsia="Arial" w:hAnsi="Arial" w:cs="Arial"/>
          <w:color w:val="FF0000"/>
        </w:rPr>
      </w:pPr>
    </w:p>
    <w:p w:rsidR="00134844" w:rsidRDefault="000937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bookmarkStart w:id="0" w:name="_GoBack"/>
      <w:r>
        <w:rPr>
          <w:rFonts w:ascii="Arial" w:eastAsia="Arial" w:hAnsi="Arial" w:cs="Arial"/>
          <w:b/>
          <w:color w:val="000000"/>
        </w:rPr>
        <w:t>ELEMENTOS MÍNIMOS NECESSÁRIOS - art. 18, §2º, inciso XIII da Lei 14.133/21</w:t>
      </w:r>
    </w:p>
    <w:bookmarkEnd w:id="0"/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highlight w:val="yellow"/>
        </w:rPr>
        <w:t>(Apresentar as justificativas por não utilizar todos os elementos do ETP previstos no § 1º do art. 18 da Lei 14.133/2021)</w:t>
      </w:r>
      <w:r>
        <w:rPr>
          <w:rFonts w:ascii="Arial" w:eastAsia="Arial" w:hAnsi="Arial" w:cs="Arial"/>
          <w:i/>
        </w:rPr>
        <w:t>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 presente estudo técnico preliminar contemplou ao menos os elementos previstos nos incisos I, IV, VI, VIII e XIII do § 1º do art. 18 da Lei 14.133/2021, suficientes para identificar o problema a ser resolvido, sob a perspectiva do interesse público, e foi capaz de apontar dentre as </w:t>
      </w:r>
      <w:r>
        <w:rPr>
          <w:rFonts w:ascii="Arial" w:eastAsia="Arial" w:hAnsi="Arial" w:cs="Arial"/>
          <w:b/>
          <w:color w:val="FF0000"/>
          <w:highlight w:val="yellow"/>
        </w:rPr>
        <w:t xml:space="preserve">opções/soluções/alternativas </w:t>
      </w:r>
      <w:r>
        <w:rPr>
          <w:rFonts w:ascii="Arial" w:eastAsia="Arial" w:hAnsi="Arial" w:cs="Arial"/>
          <w:color w:val="000000"/>
        </w:rPr>
        <w:t>disponíveis no mercado, aquela contratação que revela viabilidade técnica e econômica.</w:t>
      </w:r>
    </w:p>
    <w:p w:rsidR="00134844" w:rsidRDefault="00134844">
      <w:pPr>
        <w:jc w:val="both"/>
        <w:rPr>
          <w:rFonts w:ascii="Arial" w:eastAsia="Arial" w:hAnsi="Arial" w:cs="Arial"/>
          <w:color w:val="000000"/>
        </w:rPr>
      </w:pPr>
    </w:p>
    <w:p w:rsidR="00134844" w:rsidRDefault="000937D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Os demais elementos previstos nos incisos do §1º do art. 18 da Lei 14.133/2021 não são obrigatórios e podem ser dispensados nos termos do §2º do art. 18 da Lei 14.133/2021. No presente caso, os mesmos não foram utilizados, por </w:t>
      </w:r>
      <w:proofErr w:type="spellStart"/>
      <w:r>
        <w:rPr>
          <w:rFonts w:ascii="Arial" w:eastAsia="Arial" w:hAnsi="Arial" w:cs="Arial"/>
          <w:color w:val="000000"/>
        </w:rPr>
        <w:t>tal</w:t>
      </w:r>
      <w:proofErr w:type="spellEnd"/>
      <w:r>
        <w:rPr>
          <w:rFonts w:ascii="Arial" w:eastAsia="Arial" w:hAnsi="Arial" w:cs="Arial"/>
          <w:color w:val="000000"/>
        </w:rPr>
        <w:t xml:space="preserve"> motivo: </w:t>
      </w:r>
      <w:r>
        <w:rPr>
          <w:rFonts w:ascii="Arial" w:eastAsia="Arial" w:hAnsi="Arial" w:cs="Arial"/>
          <w:color w:val="FF0000"/>
        </w:rPr>
        <w:t>(relatar as justificativas, por exemplo: se tratar de objeto contratado com habitualidade, que não demanda complexidade, aliado ao fato deste Órgão Público, encontrar-se em fase de adaptação para aplicar as inúmeras novidades da Lei 14.133/2021, dando prioridade e efetividade neste primeiro momento de adaptação, para os elementos obrigatórios previstos em lei).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134844">
      <w:pPr>
        <w:rPr>
          <w:rFonts w:ascii="Arial" w:eastAsia="Arial" w:hAnsi="Arial" w:cs="Arial"/>
          <w:b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EQUIPE RESPONSÁVEL PELA ELABORAÇÃO DO ETP: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Setor: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Setor: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Setor: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Matrícula:</w:t>
      </w: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Setor:</w:t>
      </w: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</w:rPr>
      </w:pPr>
    </w:p>
    <w:p w:rsidR="00134844" w:rsidRDefault="00134844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b/>
          <w:color w:val="000000"/>
        </w:rPr>
      </w:pPr>
    </w:p>
    <w:p w:rsidR="00134844" w:rsidRDefault="000937D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Local e data</w:t>
      </w:r>
      <w:r>
        <w:br w:type="page"/>
      </w:r>
    </w:p>
    <w:p w:rsidR="00134844" w:rsidRDefault="00134844">
      <w:pPr>
        <w:jc w:val="both"/>
        <w:rPr>
          <w:rFonts w:ascii="Arial" w:eastAsia="Arial" w:hAnsi="Arial" w:cs="Arial"/>
        </w:rPr>
      </w:pPr>
    </w:p>
    <w:sectPr w:rsidR="00134844" w:rsidSect="00C51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53" w:right="1701" w:bottom="141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B79" w:rsidRDefault="00A96B79">
      <w:r>
        <w:separator/>
      </w:r>
    </w:p>
  </w:endnote>
  <w:endnote w:type="continuationSeparator" w:id="0">
    <w:p w:rsidR="00A96B79" w:rsidRDefault="00A9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44" w:rsidRDefault="000937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:rsidR="00134844" w:rsidRDefault="0013484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jc w:val="both"/>
      <w:rPr>
        <w:rFonts w:ascii="Arial" w:eastAsia="Arial" w:hAnsi="Arial" w:cs="Arial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44" w:rsidRDefault="000937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27F3">
      <w:rPr>
        <w:noProof/>
        <w:color w:val="000000"/>
      </w:rPr>
      <w:t>6</w:t>
    </w:r>
    <w:r>
      <w:rPr>
        <w:color w:val="000000"/>
      </w:rPr>
      <w:fldChar w:fldCharType="end"/>
    </w:r>
  </w:p>
  <w:p w:rsidR="00134844" w:rsidRDefault="00C513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418"/>
      <w:jc w:val="both"/>
      <w:rPr>
        <w:rFonts w:ascii="Arial" w:eastAsia="Arial" w:hAnsi="Arial" w:cs="Arial"/>
        <w:color w:val="000000"/>
        <w:sz w:val="22"/>
        <w:szCs w:val="22"/>
      </w:rPr>
    </w:pPr>
    <w:r>
      <w:rPr>
        <w:rFonts w:ascii="Calibri Light" w:hAnsi="Calibri Light"/>
        <w:noProof/>
      </w:rPr>
      <w:drawing>
        <wp:inline distT="0" distB="0" distL="0" distR="0" wp14:anchorId="112620BC" wp14:editId="7EC29606">
          <wp:extent cx="5400040" cy="652170"/>
          <wp:effectExtent l="0" t="0" r="0" b="0"/>
          <wp:docPr id="10" name="Imagem 10" descr="RODAPÉ P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RODAPÉ P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52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44" w:rsidRDefault="001348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B79" w:rsidRDefault="00A96B79">
      <w:r>
        <w:separator/>
      </w:r>
    </w:p>
  </w:footnote>
  <w:footnote w:type="continuationSeparator" w:id="0">
    <w:p w:rsidR="00A96B79" w:rsidRDefault="00A96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44" w:rsidRDefault="00A627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left:0;text-align:left;margin-left:0;margin-top:0;width:424.2pt;height:600pt;z-index:-25165926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  <w:r>
      <w:rPr>
        <w:rFonts w:ascii="Arial" w:eastAsia="Arial" w:hAnsi="Arial" w:cs="Arial"/>
        <w:color w:val="000000"/>
        <w:sz w:val="22"/>
        <w:szCs w:val="22"/>
      </w:rPr>
      <w:pict>
        <v:shape id="WordPictureWatermark1" o:spid="_x0000_s2049" type="#_x0000_t75" alt="" style="position:absolute;left:0;text-align:left;margin-left:0;margin-top:0;width:1414pt;height:2000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44" w:rsidRDefault="00C5139C" w:rsidP="00C513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240"/>
      <w:rPr>
        <w:rFonts w:ascii="Arial" w:eastAsia="Arial" w:hAnsi="Arial" w:cs="Arial"/>
        <w:b/>
        <w:color w:val="000000"/>
        <w:sz w:val="22"/>
        <w:szCs w:val="22"/>
      </w:rPr>
    </w:pPr>
    <w:bookmarkStart w:id="1" w:name="_heading=h.gjdgxs" w:colFirst="0" w:colLast="0"/>
    <w:bookmarkEnd w:id="1"/>
    <w:r w:rsidRPr="00094A6D"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938E9AA" wp14:editId="576901F6">
          <wp:simplePos x="0" y="0"/>
          <wp:positionH relativeFrom="margin">
            <wp:posOffset>95250</wp:posOffset>
          </wp:positionH>
          <wp:positionV relativeFrom="paragraph">
            <wp:posOffset>-391160</wp:posOffset>
          </wp:positionV>
          <wp:extent cx="5761990" cy="1082040"/>
          <wp:effectExtent l="0" t="0" r="0" b="3810"/>
          <wp:wrapTight wrapText="bothSides">
            <wp:wrapPolygon edited="0">
              <wp:start x="0" y="0"/>
              <wp:lineTo x="0" y="21296"/>
              <wp:lineTo x="21495" y="21296"/>
              <wp:lineTo x="21495" y="0"/>
              <wp:lineTo x="0" y="0"/>
            </wp:wrapPolygon>
          </wp:wrapTight>
          <wp:docPr id="9" name="Imagem 9" descr="TOPO P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8" descr="TOPO P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44" w:rsidRDefault="001348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3554"/>
    <w:multiLevelType w:val="multilevel"/>
    <w:tmpl w:val="4DF66D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44"/>
    <w:rsid w:val="000937DD"/>
    <w:rsid w:val="00134844"/>
    <w:rsid w:val="007C3C8B"/>
    <w:rsid w:val="00A627F3"/>
    <w:rsid w:val="00A96B79"/>
    <w:rsid w:val="00AF7B56"/>
    <w:rsid w:val="00C5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5D1E621-6574-49D3-BF2B-D6BD7BC8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line="360" w:lineRule="auto"/>
      <w:jc w:val="both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40" w:line="360" w:lineRule="auto"/>
      <w:jc w:val="both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40" w:line="360" w:lineRule="auto"/>
      <w:jc w:val="both"/>
      <w:outlineLvl w:val="2"/>
    </w:pPr>
    <w:rPr>
      <w:rFonts w:ascii="Calibri" w:eastAsia="Calibri" w:hAnsi="Calibri" w:cs="Calibri"/>
      <w:color w:val="1F3863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DC49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9DA"/>
  </w:style>
  <w:style w:type="paragraph" w:styleId="Cabealho">
    <w:name w:val="header"/>
    <w:basedOn w:val="Normal"/>
    <w:link w:val="CabealhoChar"/>
    <w:uiPriority w:val="99"/>
    <w:unhideWhenUsed/>
    <w:rsid w:val="004B66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66AF"/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u1VopK9mBM8iVU5V75E4YJtsVw==">CgMxLjAyCGguZ2pkZ3hzOAByITEzZkZlaHhadFl1ZTdYX1lyano3Z3kxMDVGZUpfc1FwWQ==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1694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Hangar</dc:creator>
  <cp:lastModifiedBy>Nathalia</cp:lastModifiedBy>
  <cp:revision>4</cp:revision>
  <dcterms:created xsi:type="dcterms:W3CDTF">2024-01-17T17:34:00Z</dcterms:created>
  <dcterms:modified xsi:type="dcterms:W3CDTF">2026-07-13T19:48:00Z</dcterms:modified>
</cp:coreProperties>
</file>